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FAE" w:rsidRPr="00177F6D" w:rsidRDefault="0089626C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33001277"/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ulicy Pieniężnego w Reszlu</w:t>
      </w:r>
      <w:r w:rsidR="00916A7B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6D3F69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postępowanie iii</w:t>
      </w:r>
      <w:bookmarkEnd w:id="0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26C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F69" w:rsidRPr="00177F6D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F6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F69" w:rsidRPr="00B85FBE" w:rsidRDefault="006D3F69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yceniony kosztorys </w:t>
      </w: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 – kalkulacja ceny</w:t>
      </w:r>
    </w:p>
    <w:p w:rsidR="006D3F69" w:rsidRPr="00E02C7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211"/>
        <w:gridCol w:w="1134"/>
        <w:gridCol w:w="2268"/>
      </w:tblGrid>
      <w:tr w:rsidR="006D3F69" w:rsidRPr="00E02C79" w:rsidTr="006D3F69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79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7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Wartość robót netto (zł.)</w:t>
            </w:r>
          </w:p>
        </w:tc>
      </w:tr>
      <w:tr w:rsidR="006D3F69" w:rsidRPr="00E02C79" w:rsidTr="006D3F6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79">
              <w:rPr>
                <w:rFonts w:ascii="Arial" w:hAnsi="Arial" w:cs="Arial"/>
                <w:b/>
                <w:bCs/>
                <w:sz w:val="20"/>
                <w:szCs w:val="20"/>
              </w:rPr>
              <w:t>Roboty budowlano-montażowe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Obsługa geodezyjna inwestycji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Roboty rozbiórkowe i demontażowe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Wycinki krzewów i drzew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Przebudowa kolizji gazowej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Kanalizacja deszczowa ulicy/drogi z separatorem i zrzutem do rowu otwartego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 xml:space="preserve">Nawierzchnie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Jezdnia i zjazdy z 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3915,8m2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Parkingi i chodniki z kostki betonowej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728,7m2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Elementy ulic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Pobocza kruszywowe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404,6m2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Montaz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 xml:space="preserve"> krawężników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1000,5mb.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Montaz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 xml:space="preserve"> obrzeży chodnikowych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594mb.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Oświetlenie ulicy</w:t>
            </w:r>
            <w:r w:rsidRPr="00E02C79">
              <w:rPr>
                <w:rFonts w:ascii="Arial" w:hAnsi="Arial" w:cs="Arial"/>
                <w:sz w:val="14"/>
                <w:szCs w:val="14"/>
              </w:rPr>
              <w:t xml:space="preserve"> (roboty demontażowe i montażowe)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Oznakowanie poziome i pionowe drogi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Bariery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49,5mb.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Humusowanie, trawniki i nasadzenia roślinne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C7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2C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E02C79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C79">
              <w:rPr>
                <w:rFonts w:ascii="Arial" w:hAnsi="Arial" w:cs="Arial"/>
                <w:sz w:val="14"/>
                <w:szCs w:val="14"/>
              </w:rPr>
              <w:t>1.10.8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Wykonanie i montaż tablic informacyjnych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6D3F6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C79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C79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6D3F6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3F69" w:rsidRPr="00E02C79" w:rsidTr="006D3F69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C79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9" w:rsidRPr="00E02C79" w:rsidRDefault="006D3F69">
            <w:pPr>
              <w:rPr>
                <w:rFonts w:ascii="Arial" w:hAnsi="Arial" w:cs="Arial"/>
                <w:sz w:val="20"/>
                <w:szCs w:val="20"/>
              </w:rPr>
            </w:pPr>
            <w:r w:rsidRPr="00E02C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3F6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026856" w:rsidRDefault="00FF3FDF" w:rsidP="00026856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Oświadczamy, że wadium </w:t>
      </w:r>
      <w:r w:rsidR="00B85FBE" w:rsidRPr="0002685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02685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02685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02685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02685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02685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EE65F5">
        <w:rPr>
          <w:rFonts w:ascii="Cambria" w:eastAsia="Arial" w:hAnsi="Cambria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EE65F5">
        <w:rPr>
          <w:rFonts w:ascii="Cambria" w:eastAsia="Arial" w:hAnsi="Cambria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EE65F5">
        <w:rPr>
          <w:rFonts w:ascii="Cambria" w:eastAsia="Arial" w:hAnsi="Cambria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680275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89626C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</w:t>
      </w:r>
      <w:r w:rsidR="00CE77B3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postępowanie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026856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1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</w:t>
      </w:r>
      <w:r w:rsidR="00546C2E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postępowanie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1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177F6D" w:rsidRDefault="0089626C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026856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856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177F6D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546C2E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postępowanie iii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17D3" w:rsidRDefault="0089626C" w:rsidP="00C517D3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6C2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C517D3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177F6D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2B69C8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517D3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postępowanie iii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F75B0" w:rsidRPr="00177F6D" w:rsidRDefault="00AF75B0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89626C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CUW.PK.343.15.2020</w:t>
      </w: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95B05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F95B05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F95B05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C408EB"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</w:t>
      </w:r>
      <w:r w:rsidR="00A872D4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postępowanie iii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F011E8" w:rsidRPr="00F95B05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F95B05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F95B05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F95B0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F95B05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F95B05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F95B05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0E6B4F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drogi publicznej o długości minimum 0,500 km</w:t>
      </w:r>
      <w:r w:rsidR="00457150" w:rsidRPr="00F95B05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F95B05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F95B05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F95B05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F95B05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r w:rsid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  <w:r w:rsidR="004B3F84"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A872D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A872D4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89626C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</w:t>
      </w:r>
      <w:r w:rsidR="00F86EE4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postępowanie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specjal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ności </w:t>
      </w:r>
      <w:r w:rsidR="00F95B0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E62FFD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9626C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</w:t>
      </w:r>
      <w:r w:rsidR="00F86EE4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postępowanie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F86EE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326D" w:rsidRDefault="00E6326D">
      <w:r>
        <w:separator/>
      </w:r>
    </w:p>
  </w:endnote>
  <w:endnote w:type="continuationSeparator" w:id="0">
    <w:p w:rsidR="00E6326D" w:rsidRDefault="00E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F69" w:rsidRDefault="006D3F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F69" w:rsidRDefault="006D3F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F69" w:rsidRPr="004C2557" w:rsidRDefault="006D3F69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6D3F69" w:rsidRDefault="006D3F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326D" w:rsidRDefault="00E6326D">
      <w:r>
        <w:separator/>
      </w:r>
    </w:p>
  </w:footnote>
  <w:footnote w:type="continuationSeparator" w:id="0">
    <w:p w:rsidR="00E6326D" w:rsidRDefault="00E6326D">
      <w:r>
        <w:continuationSeparator/>
      </w:r>
    </w:p>
  </w:footnote>
  <w:footnote w:id="1">
    <w:p w:rsidR="006D3F69" w:rsidRPr="00977F4B" w:rsidRDefault="006D3F69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6D3F69" w:rsidRPr="00977F4B" w:rsidRDefault="006D3F6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6D3F69" w:rsidRPr="00977F4B" w:rsidRDefault="006D3F6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6D3F69" w:rsidRPr="00977F4B" w:rsidRDefault="006D3F6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6D3F69" w:rsidRPr="00977F4B" w:rsidRDefault="006D3F69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6D3F69" w:rsidRPr="00977F4B" w:rsidRDefault="006D3F69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6D3F69" w:rsidRPr="00977F4B" w:rsidRDefault="006D3F69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4E5D8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9D6A46"/>
    <w:multiLevelType w:val="hybridMultilevel"/>
    <w:tmpl w:val="1204A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3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5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4"/>
  </w:num>
  <w:num w:numId="2">
    <w:abstractNumId w:val="92"/>
  </w:num>
  <w:num w:numId="3">
    <w:abstractNumId w:val="35"/>
  </w:num>
  <w:num w:numId="4">
    <w:abstractNumId w:val="61"/>
  </w:num>
  <w:num w:numId="5">
    <w:abstractNumId w:val="72"/>
  </w:num>
  <w:num w:numId="6">
    <w:abstractNumId w:val="90"/>
  </w:num>
  <w:num w:numId="7">
    <w:abstractNumId w:val="77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81"/>
  </w:num>
  <w:num w:numId="20">
    <w:abstractNumId w:val="31"/>
  </w:num>
  <w:num w:numId="21">
    <w:abstractNumId w:val="76"/>
  </w:num>
  <w:num w:numId="22">
    <w:abstractNumId w:val="85"/>
  </w:num>
  <w:num w:numId="23">
    <w:abstractNumId w:val="28"/>
  </w:num>
  <w:num w:numId="24">
    <w:abstractNumId w:val="27"/>
  </w:num>
  <w:num w:numId="25">
    <w:abstractNumId w:val="53"/>
  </w:num>
  <w:num w:numId="26">
    <w:abstractNumId w:val="78"/>
  </w:num>
  <w:num w:numId="27">
    <w:abstractNumId w:val="54"/>
  </w:num>
  <w:num w:numId="28">
    <w:abstractNumId w:val="60"/>
  </w:num>
  <w:num w:numId="29">
    <w:abstractNumId w:val="33"/>
  </w:num>
  <w:num w:numId="30">
    <w:abstractNumId w:val="94"/>
  </w:num>
  <w:num w:numId="31">
    <w:abstractNumId w:val="43"/>
  </w:num>
  <w:num w:numId="32">
    <w:abstractNumId w:val="89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6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91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7"/>
  </w:num>
  <w:num w:numId="51">
    <w:abstractNumId w:val="82"/>
  </w:num>
  <w:num w:numId="52">
    <w:abstractNumId w:val="39"/>
  </w:num>
  <w:num w:numId="53">
    <w:abstractNumId w:val="74"/>
  </w:num>
  <w:num w:numId="54">
    <w:abstractNumId w:val="64"/>
  </w:num>
  <w:num w:numId="55">
    <w:abstractNumId w:val="83"/>
  </w:num>
  <w:num w:numId="56">
    <w:abstractNumId w:val="88"/>
  </w:num>
  <w:num w:numId="57">
    <w:abstractNumId w:val="93"/>
  </w:num>
  <w:num w:numId="58">
    <w:abstractNumId w:val="44"/>
  </w:num>
  <w:num w:numId="59">
    <w:abstractNumId w:val="75"/>
  </w:num>
  <w:num w:numId="60">
    <w:abstractNumId w:val="7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5BA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37EF1"/>
    <w:rsid w:val="00640CB6"/>
    <w:rsid w:val="00640F38"/>
    <w:rsid w:val="006417F0"/>
    <w:rsid w:val="00643D94"/>
    <w:rsid w:val="00645104"/>
    <w:rsid w:val="00645537"/>
    <w:rsid w:val="006455FF"/>
    <w:rsid w:val="00645A95"/>
    <w:rsid w:val="006468E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872D4"/>
    <w:rsid w:val="00A90C19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5A52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2FFD"/>
    <w:rsid w:val="00E63007"/>
    <w:rsid w:val="00E6326D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6EE4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CAD4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BC69-10CB-4601-A371-C6F0A7F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21711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2020-04-15T05:44:00Z</cp:lastPrinted>
  <dcterms:created xsi:type="dcterms:W3CDTF">2020-04-15T05:52:00Z</dcterms:created>
  <dcterms:modified xsi:type="dcterms:W3CDTF">2020-04-15T05:52:00Z</dcterms:modified>
</cp:coreProperties>
</file>